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1C" w:rsidRDefault="00D76D1C" w:rsidP="00D76D1C">
      <w:pPr>
        <w:pStyle w:val="a3"/>
        <w:jc w:val="both"/>
      </w:pPr>
      <w:r>
        <w:rPr>
          <w:rStyle w:val="a4"/>
          <w:rFonts w:ascii="Tahoma" w:hAnsi="Tahoma" w:cs="Tahoma"/>
        </w:rPr>
        <w:t> Технические условия на изготовление изделий МДФ, покрытые пленкой ПВХ.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 xml:space="preserve">1.  На лицевой стороне изделия </w:t>
      </w:r>
      <w:r>
        <w:rPr>
          <w:rFonts w:ascii="Tahoma" w:hAnsi="Tahoma" w:cs="Tahoma"/>
          <w:u w:val="single"/>
        </w:rPr>
        <w:t>не допускается: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- отслоение покрытия (пленки);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- свесы покрытия (пленки);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 xml:space="preserve">- царапины, забоины, потертости, видимые при фронтальном осмотре с расстояния 0,5 </w:t>
      </w:r>
      <w:proofErr w:type="gramStart"/>
      <w:r>
        <w:rPr>
          <w:rFonts w:ascii="Tahoma" w:hAnsi="Tahoma" w:cs="Tahoma"/>
        </w:rPr>
        <w:t>м ;</w:t>
      </w:r>
      <w:proofErr w:type="gramEnd"/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- точечные включения (вкрапления), точечные вздутия с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радиусом более 1,5 мм.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 xml:space="preserve">2. На лицевой стороне изделия </w:t>
      </w:r>
      <w:r>
        <w:rPr>
          <w:rFonts w:ascii="Tahoma" w:hAnsi="Tahoma" w:cs="Tahoma"/>
          <w:u w:val="single"/>
        </w:rPr>
        <w:t>допускается</w:t>
      </w:r>
      <w:r>
        <w:rPr>
          <w:rFonts w:ascii="Tahoma" w:hAnsi="Tahoma" w:cs="Tahoma"/>
        </w:rPr>
        <w:t>: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- мелкие царапины общей длиной до 50 мм, видимые при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 xml:space="preserve">  фронтальном осмотре с расстояния 0,5 </w:t>
      </w:r>
      <w:proofErr w:type="gramStart"/>
      <w:r>
        <w:rPr>
          <w:rFonts w:ascii="Tahoma" w:hAnsi="Tahoma" w:cs="Tahoma"/>
        </w:rPr>
        <w:t>м ;</w:t>
      </w:r>
      <w:proofErr w:type="gramEnd"/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- вмятины глубиной до 0,5 мм и длиной до 1,5 мм, но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 xml:space="preserve">  </w:t>
      </w:r>
      <w:proofErr w:type="spellStart"/>
      <w:r>
        <w:rPr>
          <w:rFonts w:ascii="Tahoma" w:hAnsi="Tahoma" w:cs="Tahoma"/>
        </w:rPr>
        <w:t>неболее</w:t>
      </w:r>
      <w:proofErr w:type="spellEnd"/>
      <w:r>
        <w:rPr>
          <w:rFonts w:ascii="Tahoma" w:hAnsi="Tahoma" w:cs="Tahoma"/>
        </w:rPr>
        <w:t xml:space="preserve"> 2 дефектов на изделии площадью 0,2 м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;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 xml:space="preserve">- точечные включения (вкрапления), точечные вздутия с радиусом до 1 мм, но </w:t>
      </w:r>
      <w:proofErr w:type="gramStart"/>
      <w:r>
        <w:rPr>
          <w:rFonts w:ascii="Tahoma" w:hAnsi="Tahoma" w:cs="Tahoma"/>
        </w:rPr>
        <w:t>не  более</w:t>
      </w:r>
      <w:proofErr w:type="gramEnd"/>
      <w:r>
        <w:rPr>
          <w:rFonts w:ascii="Tahoma" w:hAnsi="Tahoma" w:cs="Tahoma"/>
        </w:rPr>
        <w:t xml:space="preserve"> 3 дефектов на изделии площадью 0,2 м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3. На внутренней стороне детали допускается: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- сколы ламината до 1,5 мм, но не более 2 сколов на изделии площадью 0,2 м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;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 xml:space="preserve">- мелкие царапины, невидимые с расстояния 0,5 м при фронтальном </w:t>
      </w:r>
      <w:proofErr w:type="gramStart"/>
      <w:r>
        <w:rPr>
          <w:rFonts w:ascii="Tahoma" w:hAnsi="Tahoma" w:cs="Tahoma"/>
        </w:rPr>
        <w:t>осмотре .</w:t>
      </w:r>
      <w:proofErr w:type="gramEnd"/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4. Габаритные отклонения от размеров не должны превышать – 0,5 +1 мм.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5. На радиусных изделиях допуск на хорду +/- 2мм. Плоскостность +/- 2мм.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 xml:space="preserve">Обращаем Ваше внимание, что радиусные изделия изготавливаются по технологии </w:t>
      </w:r>
      <w:proofErr w:type="spellStart"/>
      <w:r>
        <w:rPr>
          <w:rFonts w:ascii="Tahoma" w:hAnsi="Tahoma" w:cs="Tahoma"/>
        </w:rPr>
        <w:t>сендвич</w:t>
      </w:r>
      <w:proofErr w:type="spellEnd"/>
      <w:r>
        <w:rPr>
          <w:rFonts w:ascii="Tahoma" w:hAnsi="Tahoma" w:cs="Tahoma"/>
        </w:rPr>
        <w:t xml:space="preserve"> панелей и могут иметь отклонения от размеров, указанных в прайсе. Поэтому рекомендуем изготавливать сопряженные с ними детали только при получении Вами данного изделия.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6. При изготовлении внутренних радиусных фасадов, фасадов с декор-элементами и глубокой фрезеровкой допускаются технологические отверстия.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7. Коробление (прогиб) детали допускается 1-2 мм на изделиях длиной более 600 мм и шириной менее 600 мм. Для деталей в глянцевых ПВХ – 3-4мм − независимо от размеров.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lastRenderedPageBreak/>
        <w:t>8. На пленках ПВХ с явным текстурным или фактурным рисунком после ламинирования (прессования) возможно наличие: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а) текстурно-цветовых переливов,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б) искажения параллельности полос и плоскости,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в) угловых отклонений параллельности текстуры относительно сторон фасада.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Это связано с индивидуальными особенностями пленок при температурном воздействии.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 xml:space="preserve">9. Каждый отдельно взятый заказ на патинированные фасады может отличаться от предыдущего или последующего тоном патины, шириной наносимой линии </w:t>
      </w:r>
      <w:proofErr w:type="spellStart"/>
      <w:r>
        <w:rPr>
          <w:rFonts w:ascii="Tahoma" w:hAnsi="Tahoma" w:cs="Tahoma"/>
        </w:rPr>
        <w:t>патинировки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color w:val="FF0000"/>
          <w:u w:val="single"/>
        </w:rPr>
        <w:t>за что фирма изготовитель ответственности не несет</w:t>
      </w:r>
      <w:r>
        <w:rPr>
          <w:rFonts w:ascii="Tahoma" w:hAnsi="Tahoma" w:cs="Tahoma"/>
          <w:color w:val="FF0000"/>
        </w:rPr>
        <w:t>!</w:t>
      </w:r>
      <w:r>
        <w:rPr>
          <w:rFonts w:ascii="Tahoma" w:hAnsi="Tahoma" w:cs="Tahoma"/>
        </w:rPr>
        <w:t xml:space="preserve"> Претензии по поводу </w:t>
      </w:r>
      <w:proofErr w:type="gramStart"/>
      <w:r>
        <w:rPr>
          <w:rFonts w:ascii="Tahoma" w:hAnsi="Tahoma" w:cs="Tahoma"/>
        </w:rPr>
        <w:t>возможного  несоответствия</w:t>
      </w:r>
      <w:proofErr w:type="gramEnd"/>
      <w:r>
        <w:rPr>
          <w:rFonts w:ascii="Tahoma" w:hAnsi="Tahoma" w:cs="Tahoma"/>
        </w:rPr>
        <w:t xml:space="preserve"> с образцами не принимаются. Изготовление дозаказов возможно в случае предоставления образца!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10. Претензии по качеству заказа, переданного покупателю, принимаются в течении 3-х дней.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 Если при приемке товара по качеству и комплектности не было обнаружено недостатков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(нарушение целостности упаковки, механическое повреждение), претензии по механическим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повреждениям после приемки не приним</w:t>
      </w:r>
      <w:bookmarkStart w:id="0" w:name="_GoBack"/>
      <w:bookmarkEnd w:id="0"/>
      <w:r>
        <w:rPr>
          <w:rFonts w:ascii="Tahoma" w:hAnsi="Tahoma" w:cs="Tahoma"/>
        </w:rPr>
        <w:t>аются.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 xml:space="preserve">11. Изготовитель гарантирует одинаковый оттенок декора пленки ПВХ на всех изделиях МДФ из одной партии от одного заказа, оформленного одним бланком </w:t>
      </w:r>
      <w:proofErr w:type="gramStart"/>
      <w:r>
        <w:rPr>
          <w:rFonts w:ascii="Tahoma" w:hAnsi="Tahoma" w:cs="Tahoma"/>
        </w:rPr>
        <w:t>заказа .</w:t>
      </w:r>
      <w:proofErr w:type="gramEnd"/>
      <w:r>
        <w:rPr>
          <w:rFonts w:ascii="Tahoma" w:hAnsi="Tahoma" w:cs="Tahoma"/>
        </w:rPr>
        <w:t xml:space="preserve"> На изделиях МДФ от другой партии оттенок декора пленки ПВХ может отличаться. Разница оттенков декоров пленки ПВХ на изделиях МДФ от разных партий не является недостатком и переделке не подлежит. Обращаем Ваше внимание, что образцы пленок в «веерах» могут отличаться тоном от рабочей пленки.</w:t>
      </w:r>
    </w:p>
    <w:p w:rsidR="00D76D1C" w:rsidRDefault="00D76D1C" w:rsidP="00D76D1C">
      <w:pPr>
        <w:pStyle w:val="a3"/>
        <w:jc w:val="both"/>
      </w:pPr>
      <w:r>
        <w:rPr>
          <w:rStyle w:val="a4"/>
          <w:rFonts w:ascii="Tahoma" w:hAnsi="Tahoma" w:cs="Tahoma"/>
        </w:rPr>
        <w:t>                  Правила эксплуатации изделий МДФ, покрытых плёнкой ПВХ.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Изделия МДФ, покрытые пленкой ПВХ, обладают потребительскими свойствами. Они устойчивы к свету, царапинам, влаге.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 xml:space="preserve">Изделия МДФ сохраняют свои эксплуатационные </w:t>
      </w:r>
      <w:proofErr w:type="gramStart"/>
      <w:r>
        <w:rPr>
          <w:rFonts w:ascii="Tahoma" w:hAnsi="Tahoma" w:cs="Tahoma"/>
        </w:rPr>
        <w:t>характеристики ,при</w:t>
      </w:r>
      <w:proofErr w:type="gramEnd"/>
      <w:r>
        <w:rPr>
          <w:rFonts w:ascii="Tahoma" w:hAnsi="Tahoma" w:cs="Tahoma"/>
        </w:rPr>
        <w:t xml:space="preserve"> соблюдении следующих условий: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− температура эксплуатации 5-60°С;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− избегать попадания прямых солнечных лучей;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− относительная влажность воздуха 40-80 %.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lastRenderedPageBreak/>
        <w:t>− Не рекомендуется распиливать фасады, облицованные пленкой ПВХ. Это может привести к изменению натяжения пленки, её отслоению, а также к разрыву пленки.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− Перед началом работы с готовыми фасадами в холодный период времени (при низких температурах) необходимо дать возможность продукции достичь температуры +18º С и находиться в таких условиях как минимум в течение 1 суток. Хранить готовую продукцию рекомендуется в горизонтальном положении.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− Во избежание повреждения изделий в результате воздействия высоких температур, необходимо оставлять расстояние между электрической или газовой плитой и мебелью не менее 600 мм.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− Снимать защитную пленку (при наличии таковой), только после окончательной установки мебели.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− Не использовать в дизайне мебели осветительные приборы, расположенные от поверхности изделий на расстоянии менее 300 мм.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− Не допускать взаимодействия с температурами выше +60°С, а также избегайте длительного воздействия горячего воздуха (Например: неплотно закрытый духовой шкаф, длительное приготовление пищи при обильном выделении горячего пара без использования вытяжки, разогретая плита на протяжении длительного времени и пр.), это может привести к оплавлению, вздутию или отслаиванию плёнки.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− Не допускайте охлаждения ниже -25°С, при охлаждении ниже указанной температуры, возможно растрескивание и отслоение плёнки.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 xml:space="preserve">− Избегайте длительного воздействия влаги во избежание выгибания деталей или </w:t>
      </w:r>
      <w:proofErr w:type="gramStart"/>
      <w:r>
        <w:rPr>
          <w:rFonts w:ascii="Tahoma" w:hAnsi="Tahoma" w:cs="Tahoma"/>
        </w:rPr>
        <w:t>разбухания  плиты</w:t>
      </w:r>
      <w:proofErr w:type="gramEnd"/>
      <w:r>
        <w:rPr>
          <w:rFonts w:ascii="Tahoma" w:hAnsi="Tahoma" w:cs="Tahoma"/>
        </w:rPr>
        <w:t xml:space="preserve"> МДФ.</w:t>
      </w:r>
    </w:p>
    <w:p w:rsidR="00D76D1C" w:rsidRDefault="00D76D1C" w:rsidP="00D76D1C">
      <w:pPr>
        <w:pStyle w:val="a3"/>
        <w:jc w:val="both"/>
      </w:pPr>
      <w:r>
        <w:rPr>
          <w:rStyle w:val="a4"/>
          <w:rFonts w:ascii="Tahoma" w:hAnsi="Tahoma" w:cs="Tahoma"/>
          <w:u w:val="single"/>
        </w:rPr>
        <w:t xml:space="preserve">Рекомендации по уходу. </w:t>
      </w:r>
    </w:p>
    <w:p w:rsidR="00D76D1C" w:rsidRDefault="00D76D1C" w:rsidP="00D76D1C">
      <w:pPr>
        <w:pStyle w:val="a3"/>
        <w:jc w:val="both"/>
      </w:pPr>
      <w:r>
        <w:rPr>
          <w:rStyle w:val="a4"/>
          <w:rFonts w:ascii="Tahoma" w:hAnsi="Tahoma" w:cs="Tahoma"/>
        </w:rPr>
        <w:t xml:space="preserve">1. </w:t>
      </w:r>
      <w:r>
        <w:rPr>
          <w:rFonts w:ascii="Tahoma" w:hAnsi="Tahoma" w:cs="Tahoma"/>
        </w:rPr>
        <w:t>Сухая чистка антистатической тканью.</w:t>
      </w:r>
    </w:p>
    <w:p w:rsidR="00D76D1C" w:rsidRDefault="00D76D1C" w:rsidP="00D76D1C">
      <w:pPr>
        <w:pStyle w:val="a3"/>
        <w:jc w:val="both"/>
      </w:pPr>
      <w:r>
        <w:rPr>
          <w:rStyle w:val="a4"/>
          <w:rFonts w:ascii="Tahoma" w:hAnsi="Tahoma" w:cs="Tahoma"/>
        </w:rPr>
        <w:t xml:space="preserve">2. </w:t>
      </w:r>
      <w:r>
        <w:rPr>
          <w:rFonts w:ascii="Tahoma" w:hAnsi="Tahoma" w:cs="Tahoma"/>
        </w:rPr>
        <w:t>Влажная чистка – мыльным раствором средней концентрации с последующей протиркой до полного удаления влаги.</w:t>
      </w:r>
    </w:p>
    <w:p w:rsidR="00D76D1C" w:rsidRDefault="00D76D1C" w:rsidP="00D76D1C">
      <w:pPr>
        <w:pStyle w:val="a3"/>
        <w:jc w:val="both"/>
      </w:pPr>
      <w:r>
        <w:rPr>
          <w:rStyle w:val="a4"/>
          <w:rFonts w:ascii="Tahoma" w:hAnsi="Tahoma" w:cs="Tahoma"/>
        </w:rPr>
        <w:t xml:space="preserve">3. </w:t>
      </w:r>
      <w:r>
        <w:rPr>
          <w:rFonts w:ascii="Tahoma" w:hAnsi="Tahoma" w:cs="Tahoma"/>
        </w:rPr>
        <w:t>Для очистки поверхностей не допускается использовать средства, содержащие спирт, ацетон, растворители и абразивные частицы. Взаимодействие мебельных деталей с данными веществами, чревато порчей качества поверхности изделий.</w:t>
      </w:r>
    </w:p>
    <w:p w:rsidR="00D76D1C" w:rsidRDefault="00D76D1C" w:rsidP="00D76D1C">
      <w:pPr>
        <w:pStyle w:val="a3"/>
        <w:jc w:val="both"/>
      </w:pPr>
      <w:r>
        <w:rPr>
          <w:rStyle w:val="a4"/>
          <w:rFonts w:ascii="Tahoma" w:hAnsi="Tahoma" w:cs="Tahoma"/>
        </w:rPr>
        <w:t xml:space="preserve">                                            Гарантийные обязательства. 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Гарантийный срок на детали составляет 12 месяцев со дня реализации, при наличии бланка заказа и соблюдении правил эксплуатации.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 xml:space="preserve">        </w:t>
      </w:r>
      <w:r>
        <w:rPr>
          <w:rFonts w:ascii="Tahoma" w:hAnsi="Tahoma" w:cs="Tahoma"/>
          <w:color w:val="FF0000"/>
        </w:rPr>
        <w:t>ВНИМАНИЕ! </w:t>
      </w:r>
      <w:r>
        <w:rPr>
          <w:rFonts w:ascii="Tahoma" w:hAnsi="Tahoma" w:cs="Tahoma"/>
        </w:rPr>
        <w:t xml:space="preserve">Фасады, фрезерованные под ручки или под петли </w:t>
      </w:r>
      <w:proofErr w:type="gramStart"/>
      <w:r>
        <w:rPr>
          <w:rFonts w:ascii="Tahoma" w:hAnsi="Tahoma" w:cs="Tahoma"/>
        </w:rPr>
        <w:t>на рекламацию</w:t>
      </w:r>
      <w:proofErr w:type="gramEnd"/>
      <w:r>
        <w:rPr>
          <w:rFonts w:ascii="Tahoma" w:hAnsi="Tahoma" w:cs="Tahoma"/>
        </w:rPr>
        <w:t xml:space="preserve"> не принимаются!!!</w:t>
      </w:r>
    </w:p>
    <w:p w:rsidR="00D76D1C" w:rsidRDefault="00D76D1C" w:rsidP="00D76D1C">
      <w:pPr>
        <w:pStyle w:val="a3"/>
        <w:jc w:val="both"/>
      </w:pPr>
      <w:r>
        <w:rPr>
          <w:rStyle w:val="a4"/>
          <w:rFonts w:ascii="Tahoma" w:hAnsi="Tahoma" w:cs="Tahoma"/>
        </w:rPr>
        <w:t> </w:t>
      </w:r>
    </w:p>
    <w:p w:rsidR="00D76D1C" w:rsidRDefault="00D76D1C" w:rsidP="00D76D1C">
      <w:pPr>
        <w:pStyle w:val="a3"/>
        <w:jc w:val="both"/>
      </w:pPr>
      <w:r>
        <w:rPr>
          <w:rStyle w:val="a4"/>
          <w:rFonts w:ascii="Tahoma" w:hAnsi="Tahoma" w:cs="Tahoma"/>
        </w:rPr>
        <w:lastRenderedPageBreak/>
        <w:t xml:space="preserve">                        Гарантийное обслуживание не распространяется: 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- на дефекты, возникшие в результате несоблюдения инструкций по транспортировке, эксплуатации, хранению.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- при наличии механических повреждений, возникших в результате погрузочно-разгрузочных работ, транспортировки, хранения, монтажа.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- при наличии следов воздействия химических веществ, температурных воздействий, обильного намокания фасадов.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- при использовании не по назначению.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- в случаях преднамеренной порчи.</w:t>
      </w:r>
    </w:p>
    <w:p w:rsidR="00D76D1C" w:rsidRDefault="00D76D1C" w:rsidP="00D76D1C">
      <w:pPr>
        <w:pStyle w:val="a3"/>
        <w:jc w:val="both"/>
      </w:pPr>
      <w:r>
        <w:rPr>
          <w:rFonts w:ascii="Tahoma" w:hAnsi="Tahoma" w:cs="Tahoma"/>
        </w:rPr>
        <w:t>- в случаях порчи изделий под воздействием чрезвычайных происшествий (пожар, наводнение, стихийные бедствия).</w:t>
      </w:r>
    </w:p>
    <w:p w:rsidR="00DA2AB1" w:rsidRDefault="00DA2AB1"/>
    <w:sectPr w:rsidR="00DA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1C"/>
    <w:rsid w:val="00D76D1C"/>
    <w:rsid w:val="00D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2BA37-EB98-4D7E-9731-4BEB2BBA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2020-08-03T08:12:00Z</cp:lastPrinted>
  <dcterms:created xsi:type="dcterms:W3CDTF">2020-08-03T08:10:00Z</dcterms:created>
  <dcterms:modified xsi:type="dcterms:W3CDTF">2020-08-03T08:15:00Z</dcterms:modified>
</cp:coreProperties>
</file>